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E5" w:rsidRDefault="001411E5" w:rsidP="001411E5">
      <w:pPr>
        <w:ind w:firstLineChars="200" w:firstLine="562"/>
        <w:rPr>
          <w:rFonts w:ascii="仿宋" w:eastAsia="仿宋" w:hAnsi="仿宋" w:cs="仿宋"/>
          <w:b/>
          <w:bCs/>
          <w:sz w:val="28"/>
          <w:szCs w:val="28"/>
        </w:rPr>
      </w:pPr>
      <w:r>
        <w:rPr>
          <w:rFonts w:ascii="仿宋" w:eastAsia="仿宋" w:hAnsi="仿宋" w:cs="仿宋" w:hint="eastAsia"/>
          <w:b/>
          <w:bCs/>
          <w:sz w:val="28"/>
          <w:szCs w:val="28"/>
        </w:rPr>
        <w:t>附件一：</w:t>
      </w:r>
    </w:p>
    <w:p w:rsidR="001411E5" w:rsidRDefault="001411E5" w:rsidP="001411E5">
      <w:pPr>
        <w:spacing w:line="360" w:lineRule="auto"/>
        <w:ind w:rightChars="217" w:right="456" w:firstLineChars="200" w:firstLine="723"/>
        <w:jc w:val="center"/>
        <w:rPr>
          <w:rFonts w:ascii="宋体" w:eastAsia="宋体" w:hAnsi="宋体" w:cs="宋体"/>
          <w:b/>
          <w:kern w:val="0"/>
          <w:sz w:val="36"/>
          <w:szCs w:val="36"/>
        </w:rPr>
      </w:pPr>
      <w:bookmarkStart w:id="0" w:name="_GoBack"/>
      <w:r>
        <w:rPr>
          <w:rFonts w:ascii="宋体" w:eastAsia="宋体" w:hAnsi="宋体" w:cs="宋体" w:hint="eastAsia"/>
          <w:b/>
          <w:kern w:val="0"/>
          <w:sz w:val="36"/>
          <w:szCs w:val="36"/>
        </w:rPr>
        <w:t>动物实验室雾化消毒服务合同（合同模板）</w:t>
      </w:r>
    </w:p>
    <w:bookmarkEnd w:id="0"/>
    <w:p w:rsidR="001411E5" w:rsidRDefault="001411E5" w:rsidP="001411E5">
      <w:pPr>
        <w:pStyle w:val="20"/>
      </w:pPr>
    </w:p>
    <w:p w:rsidR="001411E5" w:rsidRDefault="001411E5" w:rsidP="001411E5">
      <w:pPr>
        <w:spacing w:line="58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委托方（甲方）： </w:t>
      </w:r>
    </w:p>
    <w:p w:rsidR="001411E5" w:rsidRDefault="001411E5" w:rsidP="001411E5">
      <w:pPr>
        <w:spacing w:line="580" w:lineRule="exact"/>
        <w:ind w:firstLineChars="200" w:firstLine="560"/>
        <w:rPr>
          <w:rFonts w:ascii="宋体" w:eastAsia="宋体" w:hAnsi="宋体" w:cs="宋体"/>
          <w:sz w:val="28"/>
          <w:szCs w:val="28"/>
        </w:rPr>
      </w:pPr>
      <w:r>
        <w:rPr>
          <w:rFonts w:ascii="宋体" w:eastAsia="宋体" w:hAnsi="宋体" w:cs="宋体" w:hint="eastAsia"/>
          <w:sz w:val="28"/>
          <w:szCs w:val="28"/>
        </w:rPr>
        <w:t>受托方（乙方）：</w:t>
      </w:r>
    </w:p>
    <w:p w:rsidR="001411E5" w:rsidRDefault="001411E5" w:rsidP="001411E5">
      <w:pPr>
        <w:spacing w:line="360" w:lineRule="auto"/>
        <w:ind w:rightChars="217" w:right="456" w:firstLineChars="200" w:firstLine="560"/>
        <w:rPr>
          <w:rFonts w:ascii="宋体" w:eastAsia="宋体" w:hAnsi="宋体" w:cs="宋体"/>
          <w:sz w:val="28"/>
          <w:szCs w:val="28"/>
          <w:u w:val="single"/>
        </w:rPr>
      </w:pPr>
      <w:r>
        <w:rPr>
          <w:rFonts w:ascii="宋体" w:eastAsia="宋体" w:hAnsi="宋体" w:cs="宋体" w:hint="eastAsia"/>
          <w:sz w:val="28"/>
          <w:szCs w:val="28"/>
        </w:rPr>
        <w:t>根据《中华人民共和国民法典》及国家相关法律规定，甲方与乙方本着平等自愿的原则，就动物实验室消毒服务事宜达成如下技术服务合同：</w:t>
      </w:r>
    </w:p>
    <w:p w:rsidR="001411E5" w:rsidRDefault="001411E5" w:rsidP="001411E5">
      <w:pPr>
        <w:pStyle w:val="1"/>
        <w:spacing w:line="360" w:lineRule="auto"/>
        <w:rPr>
          <w:rFonts w:ascii="宋体" w:eastAsia="宋体" w:hAnsi="宋体" w:cs="宋体"/>
          <w:szCs w:val="28"/>
        </w:rPr>
      </w:pPr>
      <w:r>
        <w:rPr>
          <w:rFonts w:ascii="宋体" w:eastAsia="宋体" w:hAnsi="宋体" w:cs="宋体" w:hint="eastAsia"/>
          <w:szCs w:val="28"/>
        </w:rPr>
        <w:t>一、服务要求</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1.依据《消毒技术规范》（2002版）及GB14925 - 2023《实验动物环境及设施》的要求开展工作，包括实验室环境消毒、实验室设备擦拭消毒、实验室雾化消毒。</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2.消毒区域及要求：</w:t>
      </w:r>
    </w:p>
    <w:p w:rsidR="001411E5" w:rsidRDefault="001411E5" w:rsidP="001411E5">
      <w:pPr>
        <w:ind w:firstLineChars="200" w:firstLine="560"/>
        <w:rPr>
          <w:rFonts w:ascii="宋体" w:eastAsia="宋体" w:hAnsi="宋体" w:cs="宋体"/>
          <w:sz w:val="28"/>
          <w:szCs w:val="28"/>
        </w:rPr>
      </w:pPr>
      <w:r>
        <w:rPr>
          <w:rFonts w:ascii="宋体" w:eastAsia="宋体" w:hAnsi="宋体" w:cs="宋体" w:hint="eastAsia"/>
          <w:sz w:val="28"/>
          <w:szCs w:val="28"/>
        </w:rPr>
        <w:t>2.1屏障环境动物实验室及辅助用房。包括墙面、地面、天花板、门窗等。</w:t>
      </w:r>
    </w:p>
    <w:p w:rsidR="001411E5" w:rsidRDefault="001411E5" w:rsidP="001411E5">
      <w:pPr>
        <w:ind w:firstLineChars="200" w:firstLine="560"/>
        <w:rPr>
          <w:rFonts w:ascii="宋体" w:eastAsia="宋体" w:hAnsi="宋体" w:cs="宋体"/>
          <w:sz w:val="28"/>
          <w:szCs w:val="28"/>
        </w:rPr>
      </w:pPr>
      <w:r>
        <w:rPr>
          <w:rFonts w:ascii="宋体" w:eastAsia="宋体" w:hAnsi="宋体" w:cs="宋体" w:hint="eastAsia"/>
          <w:sz w:val="28"/>
          <w:szCs w:val="28"/>
        </w:rPr>
        <w:t>2.2设备消毒：IVC笼具管道拆卸消毒，笼架消毒，并安装恢复调试。</w:t>
      </w:r>
    </w:p>
    <w:p w:rsidR="001411E5" w:rsidRDefault="001411E5" w:rsidP="001411E5">
      <w:pPr>
        <w:ind w:firstLineChars="200" w:firstLine="560"/>
        <w:rPr>
          <w:rFonts w:ascii="宋体" w:eastAsia="宋体" w:hAnsi="宋体" w:cs="宋体"/>
          <w:sz w:val="28"/>
          <w:szCs w:val="28"/>
        </w:rPr>
      </w:pPr>
      <w:r>
        <w:rPr>
          <w:rFonts w:ascii="宋体" w:eastAsia="宋体" w:hAnsi="宋体" w:cs="宋体" w:hint="eastAsia"/>
          <w:sz w:val="28"/>
          <w:szCs w:val="28"/>
        </w:rPr>
        <w:t>2.3消毒效果应达到所有位点杀灭对数值≥3.0，以枯草芽孢杆菌黑色变种（ATCC9372）作为生物指示剂。</w:t>
      </w:r>
    </w:p>
    <w:p w:rsidR="001411E5" w:rsidRDefault="001411E5" w:rsidP="001411E5">
      <w:pPr>
        <w:ind w:firstLineChars="200" w:firstLine="560"/>
        <w:rPr>
          <w:rFonts w:ascii="宋体" w:eastAsia="宋体" w:hAnsi="宋体" w:cs="宋体"/>
          <w:sz w:val="28"/>
          <w:szCs w:val="28"/>
        </w:rPr>
      </w:pPr>
      <w:r>
        <w:rPr>
          <w:rFonts w:ascii="宋体" w:eastAsia="宋体" w:hAnsi="宋体" w:cs="宋体" w:hint="eastAsia"/>
          <w:sz w:val="28"/>
          <w:szCs w:val="28"/>
        </w:rPr>
        <w:t>2.4过氧化氢残留检测值小于 1ppm，出具相应的检测报告。</w:t>
      </w:r>
    </w:p>
    <w:p w:rsidR="001411E5" w:rsidRDefault="001411E5" w:rsidP="001411E5">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2.5 出具消毒效果验证报告。包括洁净度、沉降菌、过氧化氢消毒效果验证。</w:t>
      </w:r>
    </w:p>
    <w:p w:rsidR="001411E5" w:rsidRDefault="001411E5" w:rsidP="001411E5">
      <w:pPr>
        <w:pStyle w:val="1"/>
        <w:spacing w:line="360" w:lineRule="auto"/>
        <w:rPr>
          <w:rFonts w:ascii="宋体" w:eastAsia="宋体" w:hAnsi="宋体" w:cs="宋体"/>
          <w:szCs w:val="28"/>
        </w:rPr>
      </w:pPr>
      <w:r>
        <w:rPr>
          <w:rFonts w:ascii="宋体" w:eastAsia="宋体" w:hAnsi="宋体" w:cs="宋体" w:hint="eastAsia"/>
          <w:szCs w:val="28"/>
        </w:rPr>
        <w:lastRenderedPageBreak/>
        <w:t>二、合同签订及费用支付方式</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1.乙方自合同签订之日起10个工作日内完成消毒及消毒验证（或根据实验室情况协定消毒日期），并向委托方提交检测报告书。</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2.支付费用：乙方按流程完成消毒服务后，经甲方验收无误，30个工作日内根据乙方提供的发票支付当次消毒费用，合同费用：</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1411E5" w:rsidRDefault="001411E5" w:rsidP="001411E5">
      <w:pPr>
        <w:pStyle w:val="1"/>
        <w:spacing w:line="360" w:lineRule="auto"/>
        <w:rPr>
          <w:rFonts w:ascii="宋体" w:eastAsia="宋体" w:hAnsi="宋体" w:cs="宋体"/>
          <w:szCs w:val="28"/>
        </w:rPr>
      </w:pPr>
      <w:r>
        <w:rPr>
          <w:rFonts w:ascii="宋体" w:eastAsia="宋体" w:hAnsi="宋体" w:cs="宋体" w:hint="eastAsia"/>
          <w:szCs w:val="28"/>
        </w:rPr>
        <w:t>三、双方义务</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1.甲方应积极配合乙方消毒工作。</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2.甲方应在确认乙方提交的检测报告书无误后，按合同约定支付相应的消毒费用。</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3.乙方应在合同约定的期限内，保质保量完成工作任务，并对乙方的商业与技术性信息（如图纸、检测数据等）严格保密。</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4.如甲方对检测报告书有异议，乙方需积极配合甲方查找原因并提供解决方案。</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5.乙方提供的工作成果不能满足合同约定的，甲方有权解除合同，要求乙方退还费用并赔偿损失。</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6.乙方应对合同履行过程中获得的非公开信息履行保密义务。</w:t>
      </w:r>
    </w:p>
    <w:p w:rsidR="001411E5" w:rsidRDefault="001411E5" w:rsidP="001411E5">
      <w:pPr>
        <w:rPr>
          <w:rFonts w:ascii="宋体" w:eastAsia="宋体" w:hAnsi="宋体" w:cs="宋体"/>
          <w:b/>
          <w:bCs/>
          <w:sz w:val="28"/>
          <w:szCs w:val="28"/>
        </w:rPr>
      </w:pPr>
      <w:r>
        <w:rPr>
          <w:rFonts w:ascii="宋体" w:eastAsia="宋体" w:hAnsi="宋体" w:cs="宋体" w:hint="eastAsia"/>
          <w:b/>
          <w:bCs/>
          <w:sz w:val="28"/>
          <w:szCs w:val="28"/>
        </w:rPr>
        <w:t>四、人员要求</w:t>
      </w:r>
    </w:p>
    <w:p w:rsidR="001411E5" w:rsidRDefault="001411E5" w:rsidP="001411E5">
      <w:pPr>
        <w:rPr>
          <w:rFonts w:ascii="宋体" w:eastAsia="宋体" w:hAnsi="宋体" w:cs="宋体"/>
          <w:sz w:val="28"/>
          <w:szCs w:val="28"/>
        </w:rPr>
      </w:pPr>
      <w:r>
        <w:rPr>
          <w:rFonts w:ascii="宋体" w:eastAsia="宋体" w:hAnsi="宋体" w:cs="宋体" w:hint="eastAsia"/>
          <w:sz w:val="28"/>
          <w:szCs w:val="28"/>
        </w:rPr>
        <w:t>1.技术负责人应具有中级及以上相关专业技术职称，并且具备至少3年的实验动物设施消毒验证服务经验。</w:t>
      </w:r>
    </w:p>
    <w:p w:rsidR="001411E5" w:rsidRDefault="001411E5" w:rsidP="001411E5">
      <w:pPr>
        <w:rPr>
          <w:rFonts w:ascii="宋体" w:eastAsia="宋体" w:hAnsi="宋体" w:cs="宋体"/>
          <w:sz w:val="28"/>
          <w:szCs w:val="28"/>
        </w:rPr>
      </w:pPr>
      <w:r>
        <w:rPr>
          <w:rFonts w:ascii="宋体" w:eastAsia="宋体" w:hAnsi="宋体" w:cs="宋体" w:hint="eastAsia"/>
          <w:sz w:val="28"/>
          <w:szCs w:val="28"/>
        </w:rPr>
        <w:t>2.消毒验证服务人员至少8人，从事消毒验证服务工作不少于3年。</w:t>
      </w:r>
    </w:p>
    <w:p w:rsidR="001411E5" w:rsidRDefault="001411E5" w:rsidP="001411E5">
      <w:pPr>
        <w:rPr>
          <w:rFonts w:ascii="宋体" w:eastAsia="宋体" w:hAnsi="宋体" w:cs="宋体"/>
          <w:sz w:val="28"/>
          <w:szCs w:val="28"/>
        </w:rPr>
      </w:pPr>
      <w:r>
        <w:rPr>
          <w:rFonts w:ascii="宋体" w:eastAsia="宋体" w:hAnsi="宋体" w:cs="宋体" w:hint="eastAsia"/>
          <w:sz w:val="28"/>
          <w:szCs w:val="28"/>
        </w:rPr>
        <w:t>3.具备消毒资质，提供整体实验动物设施的消毒验证服务方案。</w:t>
      </w:r>
    </w:p>
    <w:p w:rsidR="001411E5" w:rsidRDefault="001411E5" w:rsidP="001411E5">
      <w:pPr>
        <w:spacing w:line="360" w:lineRule="auto"/>
        <w:ind w:firstLineChars="200" w:firstLine="560"/>
        <w:rPr>
          <w:rFonts w:ascii="宋体" w:eastAsia="宋体" w:hAnsi="宋体" w:cs="宋体"/>
          <w:sz w:val="28"/>
          <w:szCs w:val="28"/>
        </w:rPr>
      </w:pPr>
    </w:p>
    <w:p w:rsidR="001411E5" w:rsidRDefault="001411E5" w:rsidP="001411E5">
      <w:pPr>
        <w:pStyle w:val="1"/>
        <w:rPr>
          <w:rFonts w:ascii="宋体" w:eastAsia="宋体" w:hAnsi="宋体" w:cs="宋体"/>
          <w:szCs w:val="28"/>
        </w:rPr>
      </w:pPr>
      <w:r>
        <w:rPr>
          <w:rFonts w:ascii="宋体" w:eastAsia="宋体" w:hAnsi="宋体" w:cs="宋体" w:hint="eastAsia"/>
          <w:szCs w:val="28"/>
        </w:rPr>
        <w:t>五、合同有效期</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1.本合同自最后一方签署盖章之日起生效。</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2.合同期内，若一方提出解除合同，应在合同签署后3日内且消毒工作尚未开始时提出，经双方协商一致后，方可解除合同。</w:t>
      </w:r>
    </w:p>
    <w:p w:rsidR="001411E5" w:rsidRDefault="001411E5" w:rsidP="001411E5">
      <w:pPr>
        <w:pStyle w:val="1"/>
        <w:rPr>
          <w:rFonts w:ascii="宋体" w:eastAsia="宋体" w:hAnsi="宋体" w:cs="宋体"/>
          <w:szCs w:val="28"/>
        </w:rPr>
      </w:pPr>
      <w:r>
        <w:rPr>
          <w:rFonts w:ascii="宋体" w:eastAsia="宋体" w:hAnsi="宋体" w:cs="宋体" w:hint="eastAsia"/>
          <w:szCs w:val="28"/>
        </w:rPr>
        <w:t>六、违约责任</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1.若甲方无故未按合同约定支付消毒费用，乙方有权依据本合同追讨已发生的费用。</w:t>
      </w:r>
    </w:p>
    <w:p w:rsidR="001411E5" w:rsidRDefault="001411E5" w:rsidP="001411E5">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2.若乙方违反本合同的保密义务，甲方有权追究其法律责任，并要求乙方赔偿实际损失。</w:t>
      </w:r>
    </w:p>
    <w:p w:rsidR="001411E5" w:rsidRDefault="001411E5" w:rsidP="001411E5">
      <w:pPr>
        <w:pStyle w:val="1"/>
        <w:rPr>
          <w:rFonts w:ascii="宋体" w:eastAsia="宋体" w:hAnsi="宋体" w:cs="宋体"/>
          <w:szCs w:val="28"/>
        </w:rPr>
      </w:pPr>
      <w:r>
        <w:rPr>
          <w:rFonts w:ascii="宋体" w:eastAsia="宋体" w:hAnsi="宋体" w:cs="宋体" w:hint="eastAsia"/>
          <w:szCs w:val="28"/>
        </w:rPr>
        <w:t>七、其他</w:t>
      </w:r>
    </w:p>
    <w:p w:rsidR="001411E5" w:rsidRDefault="001411E5" w:rsidP="001411E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1.本合同未尽事宜由甲乙双方另行协商，并签订补充协议，补充协议与本合同具有同等法律效力。</w:t>
      </w:r>
    </w:p>
    <w:p w:rsidR="001411E5" w:rsidRDefault="001411E5" w:rsidP="001411E5">
      <w:pPr>
        <w:pStyle w:val="2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2.本合同一式四份，甲方执两份，乙方执两份，各份均具有同等法律效力，自双方法定代表人或授权代表签字并加盖公章或合同专用章之日起生效。本合同未尽事宜，由甲乙双方协商解决；协商未果的，可向北京市通州区人民法院提起诉讼。   </w:t>
      </w:r>
    </w:p>
    <w:p w:rsidR="001411E5" w:rsidRDefault="001411E5" w:rsidP="001411E5">
      <w:pPr>
        <w:spacing w:line="580" w:lineRule="exact"/>
        <w:rPr>
          <w:rFonts w:ascii="宋体" w:eastAsia="宋体" w:hAnsi="宋体" w:cs="宋体"/>
          <w:sz w:val="28"/>
          <w:szCs w:val="28"/>
        </w:rPr>
      </w:pPr>
      <w:r>
        <w:rPr>
          <w:rFonts w:ascii="宋体" w:eastAsia="宋体" w:hAnsi="宋体" w:cs="宋体" w:hint="eastAsia"/>
          <w:sz w:val="28"/>
          <w:szCs w:val="28"/>
        </w:rPr>
        <w:t>委托方（甲方）：                      受托方（乙方）：</w:t>
      </w:r>
    </w:p>
    <w:p w:rsidR="001411E5" w:rsidRDefault="001411E5" w:rsidP="001411E5">
      <w:pPr>
        <w:spacing w:line="580" w:lineRule="exact"/>
        <w:ind w:firstLineChars="791" w:firstLine="2215"/>
        <w:rPr>
          <w:rFonts w:ascii="宋体" w:eastAsia="宋体" w:hAnsi="宋体" w:cs="宋体"/>
          <w:sz w:val="28"/>
          <w:szCs w:val="28"/>
        </w:rPr>
      </w:pPr>
      <w:r>
        <w:rPr>
          <w:rFonts w:ascii="宋体" w:eastAsia="宋体" w:hAnsi="宋体" w:cs="宋体" w:hint="eastAsia"/>
          <w:sz w:val="28"/>
          <w:szCs w:val="28"/>
        </w:rPr>
        <w:t xml:space="preserve">                      </w:t>
      </w:r>
    </w:p>
    <w:p w:rsidR="001411E5" w:rsidRDefault="001411E5" w:rsidP="001411E5">
      <w:pPr>
        <w:spacing w:line="580" w:lineRule="exact"/>
        <w:ind w:firstLineChars="50" w:firstLine="140"/>
        <w:rPr>
          <w:rFonts w:ascii="宋体" w:eastAsia="宋体" w:hAnsi="宋体" w:cs="宋体"/>
          <w:sz w:val="28"/>
          <w:szCs w:val="28"/>
        </w:rPr>
      </w:pPr>
      <w:r>
        <w:rPr>
          <w:rFonts w:ascii="宋体" w:eastAsia="宋体" w:hAnsi="宋体" w:cs="宋体" w:hint="eastAsia"/>
          <w:sz w:val="28"/>
          <w:szCs w:val="28"/>
        </w:rPr>
        <w:t>公章：                              公章：</w:t>
      </w:r>
    </w:p>
    <w:p w:rsidR="001411E5" w:rsidRDefault="001411E5" w:rsidP="001411E5">
      <w:pPr>
        <w:spacing w:line="580" w:lineRule="exact"/>
        <w:ind w:firstLineChars="50" w:firstLine="140"/>
        <w:rPr>
          <w:rFonts w:ascii="宋体" w:eastAsia="宋体" w:hAnsi="宋体" w:cs="宋体"/>
          <w:sz w:val="28"/>
          <w:szCs w:val="28"/>
        </w:rPr>
      </w:pPr>
      <w:r>
        <w:rPr>
          <w:rFonts w:ascii="宋体" w:eastAsia="宋体" w:hAnsi="宋体" w:cs="宋体" w:hint="eastAsia"/>
          <w:sz w:val="28"/>
          <w:szCs w:val="28"/>
        </w:rPr>
        <w:t>授权代表签字：                       授权代表签字：</w:t>
      </w:r>
    </w:p>
    <w:p w:rsidR="001411E5" w:rsidRDefault="001411E5" w:rsidP="001411E5">
      <w:pPr>
        <w:spacing w:line="580" w:lineRule="exact"/>
        <w:rPr>
          <w:rFonts w:ascii="宋体" w:eastAsia="宋体" w:hAnsi="宋体" w:cs="宋体"/>
          <w:sz w:val="28"/>
          <w:szCs w:val="28"/>
        </w:rPr>
      </w:pPr>
      <w:r>
        <w:rPr>
          <w:rFonts w:ascii="宋体" w:eastAsia="宋体" w:hAnsi="宋体" w:cs="宋体" w:hint="eastAsia"/>
          <w:sz w:val="28"/>
          <w:szCs w:val="28"/>
        </w:rPr>
        <w:t xml:space="preserve">   年     月      日                     年     月      日</w:t>
      </w:r>
    </w:p>
    <w:p w:rsidR="001411E5" w:rsidRDefault="001411E5" w:rsidP="001411E5">
      <w:pPr>
        <w:rPr>
          <w:rFonts w:ascii="宋体" w:eastAsia="宋体" w:hAnsi="宋体" w:cs="宋体"/>
          <w:sz w:val="28"/>
          <w:szCs w:val="28"/>
        </w:rPr>
      </w:pPr>
    </w:p>
    <w:p w:rsidR="001411E5" w:rsidRDefault="001411E5" w:rsidP="001411E5">
      <w:pPr>
        <w:pStyle w:val="20"/>
        <w:rPr>
          <w:rFonts w:ascii="华文仿宋" w:eastAsia="华文仿宋" w:hAnsi="华文仿宋"/>
          <w:sz w:val="30"/>
          <w:szCs w:val="30"/>
        </w:rPr>
      </w:pPr>
    </w:p>
    <w:p w:rsidR="001411E5" w:rsidRDefault="001411E5" w:rsidP="001411E5">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附件：环境消毒服务范围</w:t>
      </w:r>
    </w:p>
    <w:p w:rsidR="001411E5" w:rsidRDefault="001411E5" w:rsidP="001411E5">
      <w:pPr>
        <w:rPr>
          <w:rFonts w:asciiTheme="majorEastAsia" w:eastAsiaTheme="majorEastAsia" w:hAnsiTheme="majorEastAsia" w:cstheme="majorEastAsia"/>
          <w:sz w:val="28"/>
          <w:szCs w:val="28"/>
        </w:rPr>
      </w:pPr>
    </w:p>
    <w:p w:rsidR="001411E5" w:rsidRDefault="001411E5" w:rsidP="001411E5">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表1：</w:t>
      </w:r>
    </w:p>
    <w:tbl>
      <w:tblPr>
        <w:tblStyle w:val="a4"/>
        <w:tblpPr w:leftFromText="180" w:rightFromText="180" w:vertAnchor="text" w:horzAnchor="page" w:tblpX="1696" w:tblpY="109"/>
        <w:tblOverlap w:val="never"/>
        <w:tblW w:w="8571" w:type="dxa"/>
        <w:tblLayout w:type="fixed"/>
        <w:tblLook w:val="04A0" w:firstRow="1" w:lastRow="0" w:firstColumn="1" w:lastColumn="0" w:noHBand="0" w:noVBand="1"/>
      </w:tblPr>
      <w:tblGrid>
        <w:gridCol w:w="841"/>
        <w:gridCol w:w="2997"/>
        <w:gridCol w:w="2683"/>
        <w:gridCol w:w="2050"/>
      </w:tblGrid>
      <w:tr w:rsidR="001411E5" w:rsidTr="00427633">
        <w:trPr>
          <w:trHeight w:val="284"/>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序号</w:t>
            </w:r>
          </w:p>
        </w:tc>
        <w:tc>
          <w:tcPr>
            <w:tcW w:w="2997"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实施区域名称</w:t>
            </w:r>
          </w:p>
        </w:tc>
        <w:tc>
          <w:tcPr>
            <w:tcW w:w="2683"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面积（m</w:t>
            </w:r>
            <w:r>
              <w:rPr>
                <w:rFonts w:asciiTheme="majorEastAsia" w:eastAsiaTheme="majorEastAsia" w:hAnsiTheme="majorEastAsia" w:cstheme="majorEastAsia" w:hint="eastAsia"/>
                <w:bCs/>
                <w:sz w:val="28"/>
                <w:szCs w:val="28"/>
                <w:vertAlign w:val="superscript"/>
              </w:rPr>
              <w:t>2</w:t>
            </w:r>
            <w:r>
              <w:rPr>
                <w:rFonts w:asciiTheme="majorEastAsia" w:eastAsiaTheme="majorEastAsia" w:hAnsiTheme="majorEastAsia" w:cstheme="majorEastAsia" w:hint="eastAsia"/>
                <w:sz w:val="28"/>
                <w:szCs w:val="28"/>
              </w:rPr>
              <w:t>）</w:t>
            </w:r>
          </w:p>
        </w:tc>
        <w:tc>
          <w:tcPr>
            <w:tcW w:w="2050"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层高（m）</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2997"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屏障环境动物实验室及辅助用房</w:t>
            </w:r>
          </w:p>
        </w:tc>
        <w:tc>
          <w:tcPr>
            <w:tcW w:w="2683"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256.0</w:t>
            </w:r>
          </w:p>
        </w:tc>
        <w:tc>
          <w:tcPr>
            <w:tcW w:w="2050"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2.4</w:t>
            </w:r>
          </w:p>
        </w:tc>
      </w:tr>
    </w:tbl>
    <w:p w:rsidR="001411E5" w:rsidRDefault="001411E5" w:rsidP="001411E5">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表2：</w:t>
      </w:r>
    </w:p>
    <w:tbl>
      <w:tblPr>
        <w:tblStyle w:val="a4"/>
        <w:tblpPr w:leftFromText="180" w:rightFromText="180" w:vertAnchor="text" w:horzAnchor="page" w:tblpX="1696" w:tblpY="109"/>
        <w:tblOverlap w:val="never"/>
        <w:tblW w:w="8544" w:type="dxa"/>
        <w:tblLayout w:type="fixed"/>
        <w:tblLook w:val="04A0" w:firstRow="1" w:lastRow="0" w:firstColumn="1" w:lastColumn="0" w:noHBand="0" w:noVBand="1"/>
      </w:tblPr>
      <w:tblGrid>
        <w:gridCol w:w="841"/>
        <w:gridCol w:w="4436"/>
        <w:gridCol w:w="3267"/>
      </w:tblGrid>
      <w:tr w:rsidR="001411E5" w:rsidTr="00427633">
        <w:trPr>
          <w:trHeight w:val="284"/>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序号</w:t>
            </w:r>
          </w:p>
        </w:tc>
        <w:tc>
          <w:tcPr>
            <w:tcW w:w="4436"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设备名称</w:t>
            </w:r>
          </w:p>
        </w:tc>
        <w:tc>
          <w:tcPr>
            <w:tcW w:w="3267"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数量（台）</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c>
          <w:tcPr>
            <w:tcW w:w="4436"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IVC设备（一拖二）</w:t>
            </w:r>
          </w:p>
        </w:tc>
        <w:tc>
          <w:tcPr>
            <w:tcW w:w="3267"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11</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w:t>
            </w:r>
          </w:p>
        </w:tc>
        <w:tc>
          <w:tcPr>
            <w:tcW w:w="4436"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IVC设备（一拖一）</w:t>
            </w:r>
          </w:p>
        </w:tc>
        <w:tc>
          <w:tcPr>
            <w:tcW w:w="3267"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w:t>
            </w:r>
          </w:p>
        </w:tc>
        <w:tc>
          <w:tcPr>
            <w:tcW w:w="4436"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生物安全柜</w:t>
            </w:r>
          </w:p>
        </w:tc>
        <w:tc>
          <w:tcPr>
            <w:tcW w:w="3267"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4</w:t>
            </w:r>
          </w:p>
        </w:tc>
        <w:tc>
          <w:tcPr>
            <w:tcW w:w="4436"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冰箱</w:t>
            </w:r>
          </w:p>
        </w:tc>
        <w:tc>
          <w:tcPr>
            <w:tcW w:w="3267"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2</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5</w:t>
            </w:r>
          </w:p>
        </w:tc>
        <w:tc>
          <w:tcPr>
            <w:tcW w:w="4436"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超净工作台</w:t>
            </w:r>
          </w:p>
        </w:tc>
        <w:tc>
          <w:tcPr>
            <w:tcW w:w="3267"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r>
      <w:tr w:rsidR="001411E5" w:rsidTr="00427633">
        <w:trPr>
          <w:trHeight w:val="628"/>
        </w:trPr>
        <w:tc>
          <w:tcPr>
            <w:tcW w:w="841" w:type="dxa"/>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6</w:t>
            </w:r>
          </w:p>
        </w:tc>
        <w:tc>
          <w:tcPr>
            <w:tcW w:w="4436"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CO2培养箱</w:t>
            </w:r>
          </w:p>
        </w:tc>
        <w:tc>
          <w:tcPr>
            <w:tcW w:w="3267" w:type="dxa"/>
            <w:vAlign w:val="center"/>
          </w:tcPr>
          <w:p w:rsidR="001411E5" w:rsidRDefault="001411E5" w:rsidP="0042763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1</w:t>
            </w:r>
          </w:p>
        </w:tc>
      </w:tr>
    </w:tbl>
    <w:p w:rsidR="001411E5" w:rsidRDefault="001411E5" w:rsidP="001411E5">
      <w:pPr>
        <w:pStyle w:val="20"/>
        <w:rPr>
          <w:rFonts w:asciiTheme="majorEastAsia" w:eastAsiaTheme="majorEastAsia" w:hAnsiTheme="majorEastAsia" w:cstheme="majorEastAsia"/>
          <w:sz w:val="28"/>
          <w:szCs w:val="28"/>
        </w:rPr>
      </w:pPr>
    </w:p>
    <w:p w:rsidR="001411E5" w:rsidRDefault="001411E5" w:rsidP="001411E5">
      <w:pPr>
        <w:ind w:firstLineChars="200" w:firstLine="560"/>
        <w:rPr>
          <w:rFonts w:ascii="仿宋" w:eastAsia="仿宋" w:hAnsi="仿宋" w:cs="仿宋"/>
          <w:sz w:val="28"/>
          <w:szCs w:val="28"/>
        </w:rPr>
      </w:pPr>
    </w:p>
    <w:p w:rsidR="001411E5" w:rsidRDefault="001411E5" w:rsidP="001411E5"/>
    <w:p w:rsidR="001411E5" w:rsidRDefault="001411E5" w:rsidP="001411E5"/>
    <w:sectPr w:rsidR="00141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37D36"/>
    <w:multiLevelType w:val="singleLevel"/>
    <w:tmpl w:val="F6C37D3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E5"/>
    <w:rsid w:val="001411E5"/>
    <w:rsid w:val="0071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E5"/>
    <w:pPr>
      <w:widowControl w:val="0"/>
      <w:jc w:val="both"/>
    </w:pPr>
    <w:rPr>
      <w:szCs w:val="24"/>
    </w:rPr>
  </w:style>
  <w:style w:type="paragraph" w:styleId="1">
    <w:name w:val="heading 1"/>
    <w:basedOn w:val="a"/>
    <w:next w:val="a"/>
    <w:link w:val="1Char"/>
    <w:uiPriority w:val="9"/>
    <w:qFormat/>
    <w:rsid w:val="001411E5"/>
    <w:pPr>
      <w:keepNext/>
      <w:keepLines/>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11E5"/>
    <w:rPr>
      <w:b/>
      <w:bCs/>
      <w:kern w:val="44"/>
      <w:sz w:val="28"/>
      <w:szCs w:val="44"/>
    </w:rPr>
  </w:style>
  <w:style w:type="paragraph" w:styleId="2">
    <w:name w:val="Body Text Indent 2"/>
    <w:basedOn w:val="a"/>
    <w:link w:val="2Char"/>
    <w:qFormat/>
    <w:rsid w:val="001411E5"/>
    <w:pPr>
      <w:ind w:firstLineChars="200" w:firstLine="480"/>
    </w:pPr>
    <w:rPr>
      <w:rFonts w:ascii="仿宋_GB2312" w:eastAsia="仿宋_GB2312"/>
      <w:sz w:val="24"/>
    </w:rPr>
  </w:style>
  <w:style w:type="character" w:customStyle="1" w:styleId="2Char">
    <w:name w:val="正文文本缩进 2 Char"/>
    <w:basedOn w:val="a0"/>
    <w:link w:val="2"/>
    <w:rsid w:val="001411E5"/>
    <w:rPr>
      <w:rFonts w:ascii="仿宋_GB2312" w:eastAsia="仿宋_GB2312"/>
      <w:sz w:val="24"/>
      <w:szCs w:val="24"/>
    </w:rPr>
  </w:style>
  <w:style w:type="paragraph" w:styleId="a3">
    <w:name w:val="Body Text Indent"/>
    <w:basedOn w:val="a"/>
    <w:link w:val="Char"/>
    <w:uiPriority w:val="99"/>
    <w:semiHidden/>
    <w:unhideWhenUsed/>
    <w:rsid w:val="001411E5"/>
    <w:pPr>
      <w:spacing w:after="120"/>
      <w:ind w:leftChars="200" w:left="420"/>
    </w:pPr>
  </w:style>
  <w:style w:type="character" w:customStyle="1" w:styleId="Char">
    <w:name w:val="正文文本缩进 Char"/>
    <w:basedOn w:val="a0"/>
    <w:link w:val="a3"/>
    <w:uiPriority w:val="99"/>
    <w:semiHidden/>
    <w:rsid w:val="001411E5"/>
    <w:rPr>
      <w:szCs w:val="24"/>
    </w:rPr>
  </w:style>
  <w:style w:type="paragraph" w:styleId="20">
    <w:name w:val="Body Text First Indent 2"/>
    <w:basedOn w:val="a3"/>
    <w:link w:val="2Char0"/>
    <w:uiPriority w:val="99"/>
    <w:qFormat/>
    <w:rsid w:val="001411E5"/>
    <w:pPr>
      <w:spacing w:after="0" w:line="360" w:lineRule="auto"/>
      <w:ind w:leftChars="0" w:left="0" w:firstLine="420"/>
    </w:pPr>
    <w:rPr>
      <w:sz w:val="32"/>
    </w:rPr>
  </w:style>
  <w:style w:type="character" w:customStyle="1" w:styleId="2Char0">
    <w:name w:val="正文首行缩进 2 Char"/>
    <w:basedOn w:val="Char"/>
    <w:link w:val="20"/>
    <w:uiPriority w:val="99"/>
    <w:rsid w:val="001411E5"/>
    <w:rPr>
      <w:sz w:val="32"/>
      <w:szCs w:val="24"/>
    </w:rPr>
  </w:style>
  <w:style w:type="table" w:styleId="a4">
    <w:name w:val="Table Grid"/>
    <w:basedOn w:val="a1"/>
    <w:qFormat/>
    <w:rsid w:val="001411E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E5"/>
    <w:pPr>
      <w:widowControl w:val="0"/>
      <w:jc w:val="both"/>
    </w:pPr>
    <w:rPr>
      <w:szCs w:val="24"/>
    </w:rPr>
  </w:style>
  <w:style w:type="paragraph" w:styleId="1">
    <w:name w:val="heading 1"/>
    <w:basedOn w:val="a"/>
    <w:next w:val="a"/>
    <w:link w:val="1Char"/>
    <w:uiPriority w:val="9"/>
    <w:qFormat/>
    <w:rsid w:val="001411E5"/>
    <w:pPr>
      <w:keepNext/>
      <w:keepLines/>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11E5"/>
    <w:rPr>
      <w:b/>
      <w:bCs/>
      <w:kern w:val="44"/>
      <w:sz w:val="28"/>
      <w:szCs w:val="44"/>
    </w:rPr>
  </w:style>
  <w:style w:type="paragraph" w:styleId="2">
    <w:name w:val="Body Text Indent 2"/>
    <w:basedOn w:val="a"/>
    <w:link w:val="2Char"/>
    <w:qFormat/>
    <w:rsid w:val="001411E5"/>
    <w:pPr>
      <w:ind w:firstLineChars="200" w:firstLine="480"/>
    </w:pPr>
    <w:rPr>
      <w:rFonts w:ascii="仿宋_GB2312" w:eastAsia="仿宋_GB2312"/>
      <w:sz w:val="24"/>
    </w:rPr>
  </w:style>
  <w:style w:type="character" w:customStyle="1" w:styleId="2Char">
    <w:name w:val="正文文本缩进 2 Char"/>
    <w:basedOn w:val="a0"/>
    <w:link w:val="2"/>
    <w:rsid w:val="001411E5"/>
    <w:rPr>
      <w:rFonts w:ascii="仿宋_GB2312" w:eastAsia="仿宋_GB2312"/>
      <w:sz w:val="24"/>
      <w:szCs w:val="24"/>
    </w:rPr>
  </w:style>
  <w:style w:type="paragraph" w:styleId="a3">
    <w:name w:val="Body Text Indent"/>
    <w:basedOn w:val="a"/>
    <w:link w:val="Char"/>
    <w:uiPriority w:val="99"/>
    <w:semiHidden/>
    <w:unhideWhenUsed/>
    <w:rsid w:val="001411E5"/>
    <w:pPr>
      <w:spacing w:after="120"/>
      <w:ind w:leftChars="200" w:left="420"/>
    </w:pPr>
  </w:style>
  <w:style w:type="character" w:customStyle="1" w:styleId="Char">
    <w:name w:val="正文文本缩进 Char"/>
    <w:basedOn w:val="a0"/>
    <w:link w:val="a3"/>
    <w:uiPriority w:val="99"/>
    <w:semiHidden/>
    <w:rsid w:val="001411E5"/>
    <w:rPr>
      <w:szCs w:val="24"/>
    </w:rPr>
  </w:style>
  <w:style w:type="paragraph" w:styleId="20">
    <w:name w:val="Body Text First Indent 2"/>
    <w:basedOn w:val="a3"/>
    <w:link w:val="2Char0"/>
    <w:uiPriority w:val="99"/>
    <w:qFormat/>
    <w:rsid w:val="001411E5"/>
    <w:pPr>
      <w:spacing w:after="0" w:line="360" w:lineRule="auto"/>
      <w:ind w:leftChars="0" w:left="0" w:firstLine="420"/>
    </w:pPr>
    <w:rPr>
      <w:sz w:val="32"/>
    </w:rPr>
  </w:style>
  <w:style w:type="character" w:customStyle="1" w:styleId="2Char0">
    <w:name w:val="正文首行缩进 2 Char"/>
    <w:basedOn w:val="Char"/>
    <w:link w:val="20"/>
    <w:uiPriority w:val="99"/>
    <w:rsid w:val="001411E5"/>
    <w:rPr>
      <w:sz w:val="32"/>
      <w:szCs w:val="24"/>
    </w:rPr>
  </w:style>
  <w:style w:type="table" w:styleId="a4">
    <w:name w:val="Table Grid"/>
    <w:basedOn w:val="a1"/>
    <w:qFormat/>
    <w:rsid w:val="001411E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1</cp:revision>
  <dcterms:created xsi:type="dcterms:W3CDTF">2025-12-02T08:38:00Z</dcterms:created>
  <dcterms:modified xsi:type="dcterms:W3CDTF">2025-12-02T08:40:00Z</dcterms:modified>
</cp:coreProperties>
</file>